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75F" w:rsidRDefault="00BD575F" w:rsidP="00BD575F">
      <w:pPr>
        <w:spacing w:before="71"/>
        <w:ind w:right="138"/>
        <w:jc w:val="center"/>
        <w:rPr>
          <w:rFonts w:ascii="Arial" w:hAnsi="Arial"/>
          <w:sz w:val="38"/>
        </w:rPr>
      </w:pPr>
      <w:r>
        <w:rPr>
          <w:rFonts w:ascii="Arial" w:hAnsi="Arial"/>
          <w:b/>
          <w:color w:val="038944"/>
          <w:sz w:val="38"/>
        </w:rPr>
        <w:t xml:space="preserve">OUTIL 8 – </w:t>
      </w:r>
      <w:r>
        <w:rPr>
          <w:rFonts w:ascii="Arial" w:hAnsi="Arial"/>
          <w:color w:val="038944"/>
          <w:sz w:val="38"/>
        </w:rPr>
        <w:t xml:space="preserve">Plan </w:t>
      </w:r>
      <w:proofErr w:type="spellStart"/>
      <w:r>
        <w:rPr>
          <w:rFonts w:ascii="Arial" w:hAnsi="Arial"/>
          <w:color w:val="038944"/>
          <w:sz w:val="38"/>
        </w:rPr>
        <w:t>d’action</w:t>
      </w:r>
      <w:proofErr w:type="spellEnd"/>
      <w:r>
        <w:rPr>
          <w:rFonts w:ascii="Arial" w:hAnsi="Arial"/>
          <w:color w:val="038944"/>
          <w:sz w:val="38"/>
        </w:rPr>
        <w:t xml:space="preserve"> pour </w:t>
      </w:r>
      <w:proofErr w:type="spellStart"/>
      <w:r>
        <w:rPr>
          <w:rFonts w:ascii="Arial" w:hAnsi="Arial"/>
          <w:color w:val="038944"/>
          <w:sz w:val="38"/>
        </w:rPr>
        <w:t>l’implantation</w:t>
      </w:r>
      <w:proofErr w:type="spellEnd"/>
    </w:p>
    <w:p w:rsidR="00BD575F" w:rsidRDefault="00BD575F" w:rsidP="00BD575F">
      <w:pPr>
        <w:pStyle w:val="Corpsdetexte"/>
        <w:rPr>
          <w:rFonts w:ascii="Arial"/>
        </w:rPr>
      </w:pPr>
    </w:p>
    <w:p w:rsidR="00BD575F" w:rsidRDefault="00BD575F" w:rsidP="00BD575F">
      <w:pPr>
        <w:pStyle w:val="Corpsdetexte"/>
        <w:spacing w:before="2"/>
        <w:rPr>
          <w:rFonts w:ascii="Arial"/>
          <w:sz w:val="11"/>
        </w:rPr>
      </w:pPr>
    </w:p>
    <w:tbl>
      <w:tblPr>
        <w:tblStyle w:val="TableNormal"/>
        <w:tblW w:w="9364" w:type="dxa"/>
        <w:tblInd w:w="-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232"/>
        <w:gridCol w:w="3432"/>
        <w:gridCol w:w="1627"/>
        <w:gridCol w:w="1627"/>
      </w:tblGrid>
      <w:tr w:rsidR="00BD575F" w:rsidTr="00BD575F">
        <w:trPr>
          <w:trHeight w:hRule="exact" w:val="720"/>
        </w:trPr>
        <w:tc>
          <w:tcPr>
            <w:tcW w:w="2678" w:type="dxa"/>
            <w:gridSpan w:val="2"/>
            <w:tcBorders>
              <w:bottom w:val="single" w:sz="8" w:space="0" w:color="231F20"/>
            </w:tcBorders>
            <w:shd w:val="clear" w:color="auto" w:fill="038944"/>
          </w:tcPr>
          <w:p w:rsidR="00BD575F" w:rsidRDefault="00BD575F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D575F" w:rsidRDefault="00BD575F" w:rsidP="004853B6">
            <w:pPr>
              <w:pStyle w:val="TableParagraph"/>
              <w:ind w:left="345"/>
              <w:rPr>
                <w:b/>
              </w:rPr>
            </w:pPr>
            <w:r>
              <w:rPr>
                <w:b/>
                <w:color w:val="FFFFFF"/>
              </w:rPr>
              <w:t xml:space="preserve">Pratiques </w:t>
            </w:r>
            <w:proofErr w:type="spellStart"/>
            <w:r>
              <w:rPr>
                <w:b/>
                <w:color w:val="FFFFFF"/>
              </w:rPr>
              <w:t>retenues</w:t>
            </w:r>
            <w:proofErr w:type="spellEnd"/>
          </w:p>
        </w:tc>
        <w:tc>
          <w:tcPr>
            <w:tcW w:w="3432" w:type="dxa"/>
            <w:tcBorders>
              <w:bottom w:val="single" w:sz="8" w:space="0" w:color="231F20"/>
            </w:tcBorders>
            <w:shd w:val="clear" w:color="auto" w:fill="038944"/>
          </w:tcPr>
          <w:p w:rsidR="00BD575F" w:rsidRDefault="00BD575F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D575F" w:rsidRDefault="00BD575F" w:rsidP="004853B6">
            <w:pPr>
              <w:pStyle w:val="TableParagraph"/>
              <w:ind w:left="1027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Responsable</w:t>
            </w:r>
            <w:proofErr w:type="spellEnd"/>
          </w:p>
        </w:tc>
        <w:tc>
          <w:tcPr>
            <w:tcW w:w="1627" w:type="dxa"/>
            <w:tcBorders>
              <w:bottom w:val="single" w:sz="8" w:space="0" w:color="231F20"/>
            </w:tcBorders>
            <w:shd w:val="clear" w:color="auto" w:fill="038944"/>
          </w:tcPr>
          <w:p w:rsidR="00BD575F" w:rsidRDefault="00BD575F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D575F" w:rsidRDefault="00BD575F" w:rsidP="004853B6">
            <w:pPr>
              <w:pStyle w:val="TableParagraph"/>
              <w:ind w:left="430"/>
              <w:rPr>
                <w:b/>
              </w:rPr>
            </w:pPr>
            <w:r>
              <w:rPr>
                <w:b/>
                <w:color w:val="FFFFFF"/>
              </w:rPr>
              <w:t>Budget</w:t>
            </w:r>
          </w:p>
        </w:tc>
        <w:tc>
          <w:tcPr>
            <w:tcW w:w="1627" w:type="dxa"/>
            <w:tcBorders>
              <w:bottom w:val="single" w:sz="8" w:space="0" w:color="231F20"/>
            </w:tcBorders>
            <w:shd w:val="clear" w:color="auto" w:fill="038944"/>
          </w:tcPr>
          <w:p w:rsidR="00BD575F" w:rsidRDefault="00BD575F" w:rsidP="004853B6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BD575F" w:rsidRDefault="00BD575F" w:rsidP="004853B6">
            <w:pPr>
              <w:pStyle w:val="TableParagraph"/>
              <w:ind w:left="222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Échéancier</w:t>
            </w:r>
            <w:proofErr w:type="spellEnd"/>
          </w:p>
        </w:tc>
      </w:tr>
      <w:tr w:rsidR="00BD575F" w:rsidTr="00BD575F">
        <w:trPr>
          <w:trHeight w:hRule="exact" w:val="1205"/>
        </w:trPr>
        <w:tc>
          <w:tcPr>
            <w:tcW w:w="446" w:type="dxa"/>
            <w:tcBorders>
              <w:top w:val="single" w:sz="8" w:space="0" w:color="231F20"/>
            </w:tcBorders>
            <w:shd w:val="clear" w:color="auto" w:fill="038944"/>
          </w:tcPr>
          <w:p w:rsidR="00BD575F" w:rsidRDefault="00BD575F" w:rsidP="004853B6">
            <w:pPr>
              <w:pStyle w:val="TableParagraph"/>
              <w:ind w:left="0"/>
              <w:rPr>
                <w:sz w:val="24"/>
              </w:rPr>
            </w:pPr>
          </w:p>
          <w:p w:rsidR="00BD575F" w:rsidRDefault="00BD575F" w:rsidP="004853B6">
            <w:pPr>
              <w:pStyle w:val="TableParagraph"/>
              <w:spacing w:before="192"/>
              <w:ind w:left="106" w:right="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1.</w:t>
            </w:r>
          </w:p>
        </w:tc>
        <w:tc>
          <w:tcPr>
            <w:tcW w:w="2232" w:type="dxa"/>
            <w:tcBorders>
              <w:top w:val="single" w:sz="8" w:space="0" w:color="231F20"/>
            </w:tcBorders>
          </w:tcPr>
          <w:p w:rsidR="00BD575F" w:rsidRDefault="00BD575F" w:rsidP="004853B6"/>
        </w:tc>
        <w:tc>
          <w:tcPr>
            <w:tcW w:w="3432" w:type="dxa"/>
            <w:tcBorders>
              <w:top w:val="single" w:sz="8" w:space="0" w:color="231F20"/>
            </w:tcBorders>
          </w:tcPr>
          <w:p w:rsidR="00BD575F" w:rsidRDefault="00BD575F" w:rsidP="004853B6"/>
        </w:tc>
        <w:tc>
          <w:tcPr>
            <w:tcW w:w="1627" w:type="dxa"/>
            <w:tcBorders>
              <w:top w:val="single" w:sz="8" w:space="0" w:color="231F20"/>
            </w:tcBorders>
          </w:tcPr>
          <w:p w:rsidR="00BD575F" w:rsidRDefault="00BD575F" w:rsidP="004853B6"/>
        </w:tc>
        <w:tc>
          <w:tcPr>
            <w:tcW w:w="1627" w:type="dxa"/>
            <w:tcBorders>
              <w:top w:val="single" w:sz="8" w:space="0" w:color="231F20"/>
            </w:tcBorders>
          </w:tcPr>
          <w:p w:rsidR="00BD575F" w:rsidRDefault="00BD575F" w:rsidP="004853B6"/>
        </w:tc>
      </w:tr>
      <w:tr w:rsidR="00BD575F" w:rsidTr="00BD575F">
        <w:trPr>
          <w:trHeight w:hRule="exact" w:val="1200"/>
        </w:trPr>
        <w:tc>
          <w:tcPr>
            <w:tcW w:w="446" w:type="dxa"/>
            <w:shd w:val="clear" w:color="auto" w:fill="038944"/>
          </w:tcPr>
          <w:p w:rsidR="00BD575F" w:rsidRDefault="00BD575F" w:rsidP="004853B6">
            <w:pPr>
              <w:pStyle w:val="TableParagraph"/>
              <w:ind w:left="0"/>
              <w:rPr>
                <w:sz w:val="24"/>
              </w:rPr>
            </w:pPr>
          </w:p>
          <w:p w:rsidR="00BD575F" w:rsidRDefault="00BD575F" w:rsidP="004853B6">
            <w:pPr>
              <w:pStyle w:val="TableParagraph"/>
              <w:spacing w:before="192"/>
              <w:ind w:left="106" w:right="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2.</w:t>
            </w:r>
          </w:p>
        </w:tc>
        <w:tc>
          <w:tcPr>
            <w:tcW w:w="2232" w:type="dxa"/>
          </w:tcPr>
          <w:p w:rsidR="00BD575F" w:rsidRDefault="00BD575F" w:rsidP="004853B6"/>
        </w:tc>
        <w:tc>
          <w:tcPr>
            <w:tcW w:w="3432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</w:tr>
      <w:tr w:rsidR="00BD575F" w:rsidTr="00BD575F">
        <w:trPr>
          <w:trHeight w:hRule="exact" w:val="1200"/>
        </w:trPr>
        <w:tc>
          <w:tcPr>
            <w:tcW w:w="446" w:type="dxa"/>
            <w:shd w:val="clear" w:color="auto" w:fill="038944"/>
          </w:tcPr>
          <w:p w:rsidR="00BD575F" w:rsidRDefault="00BD575F" w:rsidP="004853B6">
            <w:pPr>
              <w:pStyle w:val="TableParagraph"/>
              <w:ind w:left="0"/>
              <w:rPr>
                <w:sz w:val="24"/>
              </w:rPr>
            </w:pPr>
          </w:p>
          <w:p w:rsidR="00BD575F" w:rsidRDefault="00BD575F" w:rsidP="004853B6">
            <w:pPr>
              <w:pStyle w:val="TableParagraph"/>
              <w:spacing w:before="192"/>
              <w:ind w:left="106" w:right="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3.</w:t>
            </w:r>
          </w:p>
        </w:tc>
        <w:tc>
          <w:tcPr>
            <w:tcW w:w="2232" w:type="dxa"/>
          </w:tcPr>
          <w:p w:rsidR="00BD575F" w:rsidRDefault="00BD575F" w:rsidP="004853B6"/>
        </w:tc>
        <w:tc>
          <w:tcPr>
            <w:tcW w:w="3432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</w:tr>
      <w:tr w:rsidR="00BD575F" w:rsidTr="00BD575F">
        <w:trPr>
          <w:trHeight w:hRule="exact" w:val="1200"/>
        </w:trPr>
        <w:tc>
          <w:tcPr>
            <w:tcW w:w="446" w:type="dxa"/>
            <w:shd w:val="clear" w:color="auto" w:fill="038944"/>
          </w:tcPr>
          <w:p w:rsidR="00BD575F" w:rsidRDefault="00BD575F" w:rsidP="004853B6">
            <w:pPr>
              <w:pStyle w:val="TableParagraph"/>
              <w:ind w:left="0"/>
              <w:rPr>
                <w:sz w:val="24"/>
              </w:rPr>
            </w:pPr>
          </w:p>
          <w:p w:rsidR="00BD575F" w:rsidRDefault="00BD575F" w:rsidP="004853B6">
            <w:pPr>
              <w:pStyle w:val="TableParagraph"/>
              <w:spacing w:before="192"/>
              <w:ind w:left="106" w:right="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4.</w:t>
            </w:r>
          </w:p>
        </w:tc>
        <w:tc>
          <w:tcPr>
            <w:tcW w:w="2232" w:type="dxa"/>
          </w:tcPr>
          <w:p w:rsidR="00BD575F" w:rsidRDefault="00BD575F" w:rsidP="004853B6"/>
        </w:tc>
        <w:tc>
          <w:tcPr>
            <w:tcW w:w="3432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</w:tr>
      <w:tr w:rsidR="00BD575F" w:rsidTr="00BD575F">
        <w:trPr>
          <w:trHeight w:hRule="exact" w:val="1200"/>
        </w:trPr>
        <w:tc>
          <w:tcPr>
            <w:tcW w:w="446" w:type="dxa"/>
            <w:shd w:val="clear" w:color="auto" w:fill="038944"/>
          </w:tcPr>
          <w:p w:rsidR="00BD575F" w:rsidRDefault="00BD575F" w:rsidP="004853B6">
            <w:pPr>
              <w:pStyle w:val="TableParagraph"/>
              <w:ind w:left="0"/>
              <w:rPr>
                <w:sz w:val="24"/>
              </w:rPr>
            </w:pPr>
          </w:p>
          <w:p w:rsidR="00BD575F" w:rsidRDefault="00BD575F" w:rsidP="004853B6">
            <w:pPr>
              <w:pStyle w:val="TableParagraph"/>
              <w:spacing w:before="192"/>
              <w:ind w:left="106" w:right="106"/>
              <w:jc w:val="center"/>
              <w:rPr>
                <w:b/>
              </w:rPr>
            </w:pPr>
            <w:r>
              <w:rPr>
                <w:b/>
                <w:color w:val="FFFFFF"/>
              </w:rPr>
              <w:t>5.</w:t>
            </w:r>
          </w:p>
        </w:tc>
        <w:tc>
          <w:tcPr>
            <w:tcW w:w="2232" w:type="dxa"/>
          </w:tcPr>
          <w:p w:rsidR="00BD575F" w:rsidRDefault="00BD575F" w:rsidP="004853B6"/>
        </w:tc>
        <w:tc>
          <w:tcPr>
            <w:tcW w:w="3432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  <w:tc>
          <w:tcPr>
            <w:tcW w:w="1627" w:type="dxa"/>
          </w:tcPr>
          <w:p w:rsidR="00BD575F" w:rsidRDefault="00BD575F" w:rsidP="004853B6"/>
        </w:tc>
      </w:tr>
    </w:tbl>
    <w:p w:rsidR="00BD575F" w:rsidRDefault="00BD575F" w:rsidP="00BD575F">
      <w:pPr>
        <w:pStyle w:val="Corpsdetexte"/>
        <w:rPr>
          <w:rFonts w:ascii="Arial"/>
          <w:sz w:val="42"/>
        </w:rPr>
      </w:pPr>
    </w:p>
    <w:p w:rsidR="00BD575F" w:rsidRDefault="00BD575F" w:rsidP="00BD575F">
      <w:pPr>
        <w:pStyle w:val="Corpsdetexte"/>
        <w:rPr>
          <w:rFonts w:ascii="Arial"/>
          <w:sz w:val="42"/>
        </w:rPr>
      </w:pPr>
    </w:p>
    <w:p w:rsidR="00BD575F" w:rsidRDefault="00BD575F" w:rsidP="00BD575F">
      <w:pPr>
        <w:pStyle w:val="Corpsdetexte"/>
        <w:rPr>
          <w:rFonts w:ascii="Arial"/>
          <w:sz w:val="42"/>
        </w:rPr>
      </w:pPr>
    </w:p>
    <w:p w:rsidR="00BD575F" w:rsidRDefault="00BD575F" w:rsidP="00BD575F">
      <w:pPr>
        <w:pStyle w:val="Corpsdetexte"/>
        <w:rPr>
          <w:rFonts w:ascii="Arial"/>
          <w:sz w:val="42"/>
        </w:rPr>
      </w:pPr>
    </w:p>
    <w:p w:rsidR="0058480F" w:rsidRDefault="00BD575F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9370695</wp:posOffset>
                </wp:positionV>
                <wp:extent cx="2246630" cy="139065"/>
                <wp:effectExtent l="0" t="0" r="4445" b="0"/>
                <wp:wrapNone/>
                <wp:docPr id="26282022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75F" w:rsidRDefault="00BD575F" w:rsidP="00BD575F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De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rétention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mobilisation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6"/>
                              </w:rPr>
                              <w:t>employés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6.5pt;margin-top:737.85pt;width:176.9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AU1gEAAJEDAAAOAAAAZHJzL2Uyb0RvYy54bWysU9uO0zAQfUfiHyy/06RdqCBqulp2tQhp&#10;uUgLH+A4dhKReMyM26R8PWOn6XJ5Q7xYkxn7zDlnJrvraejF0SB14Eq5XuVSGKeh7lxTyq9f7l+8&#10;lo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" filled="f" stroked="f">
                <v:textbox inset="0,0,0,0">
                  <w:txbxContent>
                    <w:p w:rsidR="00BD575F" w:rsidRDefault="00BD575F" w:rsidP="00BD575F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De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rétention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à la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mobilisation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 xml:space="preserve"> des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6"/>
                        </w:rPr>
                        <w:t>employés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575F" w:rsidRPr="00BD575F" w:rsidRDefault="00BD575F" w:rsidP="00BD575F">
      <w:pPr>
        <w:tabs>
          <w:tab w:val="left" w:pos="2835"/>
        </w:tabs>
      </w:pPr>
      <w:r>
        <w:tab/>
      </w:r>
    </w:p>
    <w:sectPr w:rsidR="00BD575F" w:rsidRPr="00BD575F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75F" w:rsidRDefault="00BD575F" w:rsidP="00BD575F">
      <w:r>
        <w:separator/>
      </w:r>
    </w:p>
  </w:endnote>
  <w:endnote w:type="continuationSeparator" w:id="0">
    <w:p w:rsidR="00BD575F" w:rsidRDefault="00BD575F" w:rsidP="00B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575F" w:rsidRDefault="00BD575F">
    <w:pPr>
      <w:pStyle w:val="Pieddepage"/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3954145</wp:posOffset>
              </wp:positionH>
              <wp:positionV relativeFrom="page">
                <wp:posOffset>9340215</wp:posOffset>
              </wp:positionV>
              <wp:extent cx="3402330" cy="118110"/>
              <wp:effectExtent l="1270" t="0" r="0" b="0"/>
              <wp:wrapNone/>
              <wp:docPr id="15297962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75F" w:rsidRDefault="00BD575F" w:rsidP="00BD575F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Pour les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entreprises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du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secteur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l’horticulture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ornementale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>commercialisation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3"/>
                            </w:rPr>
                            <w:t xml:space="preserve"> et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11.35pt;margin-top:735.45pt;width:267.9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" filled="f" stroked="f">
              <v:textbox inset="0,0,0,0">
                <w:txbxContent>
                  <w:p w:rsidR="00BD575F" w:rsidRDefault="00BD575F" w:rsidP="00BD575F">
                    <w:pPr>
                      <w:spacing w:before="15"/>
                      <w:ind w:left="20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Pour les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entreprises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du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secteur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de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l’horticulture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ornementale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–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sz w:val="13"/>
                      </w:rPr>
                      <w:t>commercialisation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3"/>
                      </w:rPr>
                      <w:t xml:space="preserve"> et 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75F" w:rsidRDefault="00BD575F" w:rsidP="00BD575F">
      <w:r>
        <w:separator/>
      </w:r>
    </w:p>
  </w:footnote>
  <w:footnote w:type="continuationSeparator" w:id="0">
    <w:p w:rsidR="00BD575F" w:rsidRDefault="00BD575F" w:rsidP="00BD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F"/>
    <w:rsid w:val="0058480F"/>
    <w:rsid w:val="00B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11E1A8"/>
  <w15:chartTrackingRefBased/>
  <w15:docId w15:val="{EF22BAF4-6F37-44EA-9318-9FB1CB1D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before="20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575F"/>
    <w:pPr>
      <w:widowControl w:val="0"/>
      <w:autoSpaceDE w:val="0"/>
      <w:autoSpaceDN w:val="0"/>
      <w:spacing w:before="0" w:after="0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BD575F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D575F"/>
    <w:rPr>
      <w:rFonts w:ascii="Calibri" w:eastAsia="Calibri" w:hAnsi="Calibri" w:cs="Calibri"/>
      <w:kern w:val="0"/>
      <w:sz w:val="20"/>
      <w:szCs w:val="2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D575F"/>
    <w:pPr>
      <w:ind w:left="115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BD57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575F"/>
    <w:rPr>
      <w:rFonts w:ascii="Calibri" w:eastAsia="Calibri" w:hAnsi="Calibri" w:cs="Calibri"/>
      <w:kern w:val="0"/>
      <w:lang w:val="en-US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BD57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575F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Lefebvre</dc:creator>
  <cp:keywords/>
  <dc:description/>
  <cp:lastModifiedBy>Maud Lefebvre</cp:lastModifiedBy>
  <cp:revision>1</cp:revision>
  <cp:lastPrinted>2023-05-24T19:33:00Z</cp:lastPrinted>
  <dcterms:created xsi:type="dcterms:W3CDTF">2023-05-24T19:31:00Z</dcterms:created>
  <dcterms:modified xsi:type="dcterms:W3CDTF">2023-05-24T19:34:00Z</dcterms:modified>
</cp:coreProperties>
</file>