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DB3" w:rsidRDefault="006C7DB3" w:rsidP="006C7DB3">
      <w:pPr>
        <w:spacing w:before="69"/>
        <w:ind w:left="851"/>
        <w:rPr>
          <w:rFonts w:ascii="Arial" w:hAnsi="Arial"/>
          <w:sz w:val="38"/>
        </w:rPr>
      </w:pPr>
      <w:r>
        <w:rPr>
          <w:rFonts w:ascii="Arial" w:hAnsi="Arial"/>
          <w:b/>
          <w:color w:val="038944"/>
          <w:sz w:val="38"/>
        </w:rPr>
        <w:t xml:space="preserve">OUTIL 7 – </w:t>
      </w:r>
      <w:r>
        <w:rPr>
          <w:rFonts w:ascii="Arial" w:hAnsi="Arial"/>
          <w:color w:val="038944"/>
          <w:sz w:val="38"/>
        </w:rPr>
        <w:t xml:space="preserve">Sondage </w:t>
      </w:r>
      <w:proofErr w:type="spellStart"/>
      <w:r>
        <w:rPr>
          <w:rFonts w:ascii="Arial" w:hAnsi="Arial"/>
          <w:color w:val="038944"/>
          <w:sz w:val="38"/>
        </w:rPr>
        <w:t>auprès</w:t>
      </w:r>
      <w:proofErr w:type="spellEnd"/>
      <w:r>
        <w:rPr>
          <w:rFonts w:ascii="Arial" w:hAnsi="Arial"/>
          <w:color w:val="038944"/>
          <w:sz w:val="38"/>
        </w:rPr>
        <w:t xml:space="preserve"> des </w:t>
      </w:r>
      <w:proofErr w:type="spellStart"/>
      <w:r>
        <w:rPr>
          <w:rFonts w:ascii="Arial" w:hAnsi="Arial"/>
          <w:color w:val="038944"/>
          <w:sz w:val="38"/>
        </w:rPr>
        <w:t>employés</w:t>
      </w:r>
      <w:proofErr w:type="spellEnd"/>
    </w:p>
    <w:p w:rsidR="006C7DB3" w:rsidRDefault="006C7DB3" w:rsidP="006C7DB3">
      <w:pPr>
        <w:pStyle w:val="Corpsdetexte"/>
        <w:spacing w:before="331" w:line="249" w:lineRule="auto"/>
        <w:ind w:right="-574"/>
        <w:rPr>
          <w:rFonts w:ascii="Arial" w:hAnsi="Arial"/>
        </w:rPr>
      </w:pPr>
      <w:r>
        <w:rPr>
          <w:rFonts w:ascii="Arial" w:hAnsi="Arial"/>
          <w:color w:val="231F20"/>
          <w:spacing w:val="-3"/>
        </w:rPr>
        <w:t xml:space="preserve">Vous </w:t>
      </w:r>
      <w:proofErr w:type="spellStart"/>
      <w:r>
        <w:rPr>
          <w:rFonts w:ascii="Arial" w:hAnsi="Arial"/>
          <w:color w:val="231F20"/>
        </w:rPr>
        <w:t>trouverez</w:t>
      </w:r>
      <w:proofErr w:type="spellEnd"/>
      <w:r>
        <w:rPr>
          <w:rFonts w:ascii="Arial" w:hAnsi="Arial"/>
          <w:color w:val="231F20"/>
        </w:rPr>
        <w:t xml:space="preserve"> ci-dessous la </w:t>
      </w:r>
      <w:proofErr w:type="spellStart"/>
      <w:r>
        <w:rPr>
          <w:rFonts w:ascii="Arial" w:hAnsi="Arial"/>
          <w:color w:val="231F20"/>
        </w:rPr>
        <w:t>liste</w:t>
      </w:r>
      <w:proofErr w:type="spellEnd"/>
      <w:r>
        <w:rPr>
          <w:rFonts w:ascii="Arial" w:hAnsi="Arial"/>
          <w:color w:val="231F20"/>
        </w:rPr>
        <w:t xml:space="preserve"> des pratiques de </w:t>
      </w:r>
      <w:proofErr w:type="spellStart"/>
      <w:r>
        <w:rPr>
          <w:rFonts w:ascii="Arial" w:hAnsi="Arial"/>
          <w:color w:val="231F20"/>
        </w:rPr>
        <w:t>mobilisation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considérées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comme</w:t>
      </w:r>
      <w:proofErr w:type="spellEnd"/>
      <w:r>
        <w:rPr>
          <w:rFonts w:ascii="Arial" w:hAnsi="Arial"/>
          <w:color w:val="231F20"/>
        </w:rPr>
        <w:t xml:space="preserve"> les </w:t>
      </w:r>
      <w:proofErr w:type="gramStart"/>
      <w:r>
        <w:rPr>
          <w:rFonts w:ascii="Arial" w:hAnsi="Arial"/>
          <w:color w:val="231F20"/>
        </w:rPr>
        <w:t xml:space="preserve">plus  </w:t>
      </w:r>
      <w:proofErr w:type="spellStart"/>
      <w:r>
        <w:rPr>
          <w:rFonts w:ascii="Arial" w:hAnsi="Arial"/>
          <w:color w:val="231F20"/>
        </w:rPr>
        <w:t>appropriées</w:t>
      </w:r>
      <w:proofErr w:type="spellEnd"/>
      <w:proofErr w:type="gramEnd"/>
      <w:r>
        <w:rPr>
          <w:rFonts w:ascii="Arial" w:hAnsi="Arial"/>
          <w:color w:val="231F20"/>
        </w:rPr>
        <w:t xml:space="preserve"> dans le </w:t>
      </w:r>
      <w:proofErr w:type="spellStart"/>
      <w:r>
        <w:rPr>
          <w:rFonts w:ascii="Arial" w:hAnsi="Arial"/>
          <w:color w:val="231F20"/>
        </w:rPr>
        <w:t>contexte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r>
        <w:rPr>
          <w:rFonts w:ascii="Arial" w:hAnsi="Arial"/>
          <w:color w:val="231F20"/>
        </w:rPr>
        <w:t>notre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entreprise</w:t>
      </w:r>
      <w:proofErr w:type="spellEnd"/>
      <w:r>
        <w:rPr>
          <w:rFonts w:ascii="Arial" w:hAnsi="Arial"/>
          <w:color w:val="231F20"/>
        </w:rPr>
        <w:t xml:space="preserve">. Pour </w:t>
      </w:r>
      <w:proofErr w:type="spellStart"/>
      <w:r>
        <w:rPr>
          <w:rFonts w:ascii="Arial" w:hAnsi="Arial"/>
          <w:color w:val="231F20"/>
        </w:rPr>
        <w:t>chacune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r>
        <w:rPr>
          <w:rFonts w:ascii="Arial" w:hAnsi="Arial"/>
          <w:color w:val="231F20"/>
        </w:rPr>
        <w:t>ces</w:t>
      </w:r>
      <w:proofErr w:type="spellEnd"/>
      <w:r>
        <w:rPr>
          <w:rFonts w:ascii="Arial" w:hAnsi="Arial"/>
          <w:color w:val="231F20"/>
        </w:rPr>
        <w:t xml:space="preserve"> pratiques, nous </w:t>
      </w:r>
      <w:proofErr w:type="spellStart"/>
      <w:proofErr w:type="gram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  </w:t>
      </w:r>
      <w:proofErr w:type="spellStart"/>
      <w:r>
        <w:rPr>
          <w:rFonts w:ascii="Arial" w:hAnsi="Arial"/>
          <w:color w:val="231F20"/>
        </w:rPr>
        <w:t>demandons</w:t>
      </w:r>
      <w:proofErr w:type="spellEnd"/>
      <w:proofErr w:type="gram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d’indiquer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quel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est</w:t>
      </w:r>
      <w:proofErr w:type="spellEnd"/>
      <w:r>
        <w:rPr>
          <w:rFonts w:ascii="Arial" w:hAnsi="Arial"/>
          <w:color w:val="231F20"/>
        </w:rPr>
        <w:t xml:space="preserve"> le </w:t>
      </w:r>
      <w:proofErr w:type="spellStart"/>
      <w:r>
        <w:rPr>
          <w:rFonts w:ascii="Arial" w:hAnsi="Arial"/>
          <w:color w:val="231F20"/>
        </w:rPr>
        <w:t>degré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r>
        <w:rPr>
          <w:rFonts w:ascii="Arial" w:hAnsi="Arial"/>
          <w:color w:val="231F20"/>
        </w:rPr>
        <w:t>priorité</w:t>
      </w:r>
      <w:proofErr w:type="spellEnd"/>
      <w:r>
        <w:rPr>
          <w:rFonts w:ascii="Arial" w:hAnsi="Arial"/>
          <w:color w:val="231F20"/>
        </w:rPr>
        <w:t xml:space="preserve"> que </w:t>
      </w:r>
      <w:proofErr w:type="spellStart"/>
      <w:r>
        <w:rPr>
          <w:rFonts w:ascii="Arial" w:hAnsi="Arial"/>
          <w:color w:val="231F20"/>
        </w:rPr>
        <w:t>l’entreprise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devrait</w:t>
      </w:r>
      <w:proofErr w:type="spellEnd"/>
      <w:r>
        <w:rPr>
          <w:rFonts w:ascii="Arial" w:hAnsi="Arial"/>
          <w:color w:val="231F20"/>
        </w:rPr>
        <w:t xml:space="preserve"> y accorder </w:t>
      </w:r>
      <w:proofErr w:type="spellStart"/>
      <w:r>
        <w:rPr>
          <w:rFonts w:ascii="Arial" w:hAnsi="Arial"/>
          <w:color w:val="231F20"/>
        </w:rPr>
        <w:t>selon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. Nous </w:t>
      </w:r>
      <w:proofErr w:type="spellStart"/>
      <w:r>
        <w:rPr>
          <w:rFonts w:ascii="Arial" w:hAnsi="Arial"/>
          <w:color w:val="231F20"/>
        </w:rPr>
        <w:t>apprécierions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aussi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recueillir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vos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commentaires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ou</w:t>
      </w:r>
      <w:proofErr w:type="spellEnd"/>
      <w:r>
        <w:rPr>
          <w:rFonts w:ascii="Arial" w:hAnsi="Arial"/>
          <w:color w:val="231F20"/>
        </w:rPr>
        <w:t xml:space="preserve"> suggestions pour maximiser </w:t>
      </w:r>
      <w:proofErr w:type="spellStart"/>
      <w:r>
        <w:rPr>
          <w:rFonts w:ascii="Arial" w:hAnsi="Arial"/>
          <w:color w:val="231F20"/>
        </w:rPr>
        <w:t>l’impact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r>
        <w:rPr>
          <w:rFonts w:ascii="Arial" w:hAnsi="Arial"/>
          <w:color w:val="231F20"/>
        </w:rPr>
        <w:t>chacune</w:t>
      </w:r>
      <w:proofErr w:type="spellEnd"/>
      <w:r>
        <w:rPr>
          <w:rFonts w:ascii="Arial" w:hAnsi="Arial"/>
          <w:color w:val="231F20"/>
        </w:rPr>
        <w:t xml:space="preserve"> des pratiques</w:t>
      </w:r>
      <w:r>
        <w:rPr>
          <w:rFonts w:ascii="Arial" w:hAnsi="Arial"/>
          <w:color w:val="231F20"/>
          <w:spacing w:val="2"/>
        </w:rPr>
        <w:t xml:space="preserve"> </w:t>
      </w:r>
      <w:proofErr w:type="spellStart"/>
      <w:r>
        <w:rPr>
          <w:rFonts w:ascii="Arial" w:hAnsi="Arial"/>
          <w:color w:val="231F20"/>
        </w:rPr>
        <w:t>proposées</w:t>
      </w:r>
      <w:proofErr w:type="spellEnd"/>
      <w:r>
        <w:rPr>
          <w:rFonts w:ascii="Arial" w:hAnsi="Arial"/>
          <w:color w:val="231F20"/>
        </w:rPr>
        <w:t>.</w:t>
      </w:r>
    </w:p>
    <w:p w:rsidR="006C7DB3" w:rsidRDefault="006C7DB3" w:rsidP="006C7DB3">
      <w:pPr>
        <w:pStyle w:val="Corpsdetexte"/>
        <w:spacing w:before="10"/>
        <w:rPr>
          <w:rFonts w:ascii="Arial"/>
          <w:sz w:val="12"/>
        </w:rPr>
      </w:pPr>
    </w:p>
    <w:tbl>
      <w:tblPr>
        <w:tblStyle w:val="TableNormal"/>
        <w:tblW w:w="9350" w:type="dxa"/>
        <w:tblInd w:w="-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88"/>
        <w:gridCol w:w="739"/>
        <w:gridCol w:w="739"/>
        <w:gridCol w:w="739"/>
        <w:gridCol w:w="740"/>
        <w:gridCol w:w="3105"/>
      </w:tblGrid>
      <w:tr w:rsidR="006C7DB3" w:rsidTr="006C7DB3">
        <w:trPr>
          <w:trHeight w:hRule="exact" w:val="883"/>
        </w:trPr>
        <w:tc>
          <w:tcPr>
            <w:tcW w:w="3288" w:type="dxa"/>
            <w:gridSpan w:val="2"/>
            <w:vMerge w:val="restart"/>
            <w:shd w:val="clear" w:color="auto" w:fill="038944"/>
          </w:tcPr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spacing w:before="165" w:line="249" w:lineRule="auto"/>
              <w:ind w:left="1083" w:hanging="781"/>
              <w:rPr>
                <w:b/>
              </w:rPr>
            </w:pPr>
            <w:r>
              <w:rPr>
                <w:b/>
                <w:color w:val="FFFFFF"/>
              </w:rPr>
              <w:t xml:space="preserve">Pratiques de </w:t>
            </w:r>
            <w:proofErr w:type="spellStart"/>
            <w:r>
              <w:rPr>
                <w:b/>
                <w:color w:val="FFFFFF"/>
              </w:rPr>
              <w:t>mobilisation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proposées</w:t>
            </w:r>
            <w:proofErr w:type="spellEnd"/>
          </w:p>
        </w:tc>
        <w:tc>
          <w:tcPr>
            <w:tcW w:w="2957" w:type="dxa"/>
            <w:gridSpan w:val="4"/>
            <w:shd w:val="clear" w:color="auto" w:fill="038944"/>
          </w:tcPr>
          <w:p w:rsidR="006C7DB3" w:rsidRDefault="006C7DB3" w:rsidP="004853B6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6C7DB3" w:rsidRDefault="006C7DB3" w:rsidP="004853B6">
            <w:pPr>
              <w:pStyle w:val="TableParagraph"/>
              <w:ind w:left="1068" w:right="1068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Priorité</w:t>
            </w:r>
            <w:proofErr w:type="spellEnd"/>
          </w:p>
        </w:tc>
        <w:tc>
          <w:tcPr>
            <w:tcW w:w="3105" w:type="dxa"/>
            <w:vMerge w:val="restart"/>
            <w:shd w:val="clear" w:color="auto" w:fill="038944"/>
          </w:tcPr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spacing w:before="165" w:line="249" w:lineRule="auto"/>
              <w:ind w:left="888" w:right="701" w:hanging="16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Commentaires</w:t>
            </w:r>
            <w:proofErr w:type="spellEnd"/>
            <w:r>
              <w:rPr>
                <w:b/>
                <w:color w:val="FFFFFF"/>
              </w:rPr>
              <w:t xml:space="preserve"> / Suggestions</w:t>
            </w:r>
          </w:p>
        </w:tc>
      </w:tr>
      <w:tr w:rsidR="006C7DB3" w:rsidTr="006C7DB3">
        <w:trPr>
          <w:trHeight w:hRule="exact" w:val="1079"/>
        </w:trPr>
        <w:tc>
          <w:tcPr>
            <w:tcW w:w="3288" w:type="dxa"/>
            <w:gridSpan w:val="2"/>
            <w:vMerge/>
            <w:tcBorders>
              <w:bottom w:val="single" w:sz="8" w:space="0" w:color="231F20"/>
            </w:tcBorders>
            <w:shd w:val="clear" w:color="auto" w:fill="038944"/>
          </w:tcPr>
          <w:p w:rsidR="006C7DB3" w:rsidRDefault="006C7DB3" w:rsidP="004853B6"/>
        </w:tc>
        <w:tc>
          <w:tcPr>
            <w:tcW w:w="739" w:type="dxa"/>
            <w:tcBorders>
              <w:bottom w:val="single" w:sz="8" w:space="0" w:color="231F20"/>
            </w:tcBorders>
            <w:shd w:val="clear" w:color="auto" w:fill="D1D3D4"/>
            <w:textDirection w:val="btLr"/>
          </w:tcPr>
          <w:p w:rsidR="006C7DB3" w:rsidRDefault="006C7DB3" w:rsidP="004853B6">
            <w:pPr>
              <w:pStyle w:val="TableParagraph"/>
              <w:ind w:left="0"/>
              <w:rPr>
                <w:sz w:val="17"/>
              </w:rPr>
            </w:pPr>
          </w:p>
          <w:p w:rsidR="006C7DB3" w:rsidRDefault="006C7DB3" w:rsidP="004853B6">
            <w:pPr>
              <w:pStyle w:val="TableParagraph"/>
              <w:spacing w:line="180" w:lineRule="exact"/>
              <w:ind w:left="153" w:right="66" w:hanging="8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Pas du tout </w:t>
            </w:r>
            <w:proofErr w:type="spellStart"/>
            <w:r>
              <w:rPr>
                <w:color w:val="231F20"/>
                <w:sz w:val="18"/>
              </w:rPr>
              <w:t>prioritaire</w:t>
            </w:r>
            <w:proofErr w:type="spellEnd"/>
          </w:p>
        </w:tc>
        <w:tc>
          <w:tcPr>
            <w:tcW w:w="739" w:type="dxa"/>
            <w:tcBorders>
              <w:bottom w:val="single" w:sz="8" w:space="0" w:color="231F20"/>
            </w:tcBorders>
            <w:shd w:val="clear" w:color="auto" w:fill="D1D3D4"/>
            <w:textDirection w:val="btLr"/>
          </w:tcPr>
          <w:p w:rsidR="006C7DB3" w:rsidRDefault="006C7DB3" w:rsidP="004853B6">
            <w:pPr>
              <w:pStyle w:val="TableParagraph"/>
              <w:ind w:left="0"/>
              <w:rPr>
                <w:sz w:val="17"/>
              </w:rPr>
            </w:pPr>
          </w:p>
          <w:p w:rsidR="006C7DB3" w:rsidRDefault="006C7DB3" w:rsidP="004853B6">
            <w:pPr>
              <w:pStyle w:val="TableParagraph"/>
              <w:spacing w:line="180" w:lineRule="exact"/>
              <w:ind w:left="153" w:right="145" w:firstLine="21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Peu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prioritaire</w:t>
            </w:r>
            <w:proofErr w:type="spellEnd"/>
          </w:p>
        </w:tc>
        <w:tc>
          <w:tcPr>
            <w:tcW w:w="739" w:type="dxa"/>
            <w:tcBorders>
              <w:bottom w:val="single" w:sz="8" w:space="0" w:color="231F20"/>
            </w:tcBorders>
            <w:shd w:val="clear" w:color="auto" w:fill="D1D3D4"/>
            <w:textDirection w:val="btLr"/>
          </w:tcPr>
          <w:p w:rsidR="006C7DB3" w:rsidRDefault="006C7DB3" w:rsidP="004853B6">
            <w:pPr>
              <w:pStyle w:val="TableParagraph"/>
              <w:spacing w:before="8"/>
              <w:ind w:left="0"/>
            </w:pPr>
          </w:p>
          <w:p w:rsidR="006C7DB3" w:rsidRDefault="006C7DB3" w:rsidP="004853B6">
            <w:pPr>
              <w:pStyle w:val="TableParagraph"/>
              <w:ind w:left="14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Prioritaire</w:t>
            </w:r>
            <w:proofErr w:type="spellEnd"/>
          </w:p>
        </w:tc>
        <w:tc>
          <w:tcPr>
            <w:tcW w:w="740" w:type="dxa"/>
            <w:tcBorders>
              <w:bottom w:val="single" w:sz="8" w:space="0" w:color="231F20"/>
            </w:tcBorders>
            <w:shd w:val="clear" w:color="auto" w:fill="D1D3D4"/>
            <w:textDirection w:val="btLr"/>
          </w:tcPr>
          <w:p w:rsidR="006C7DB3" w:rsidRDefault="006C7DB3" w:rsidP="004853B6">
            <w:pPr>
              <w:pStyle w:val="TableParagraph"/>
              <w:ind w:left="0"/>
              <w:rPr>
                <w:sz w:val="17"/>
              </w:rPr>
            </w:pPr>
          </w:p>
          <w:p w:rsidR="006C7DB3" w:rsidRDefault="006C7DB3" w:rsidP="004853B6">
            <w:pPr>
              <w:pStyle w:val="TableParagraph"/>
              <w:spacing w:line="180" w:lineRule="exact"/>
              <w:ind w:left="153" w:right="145" w:firstLine="199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>T</w:t>
            </w:r>
            <w:r>
              <w:rPr>
                <w:color w:val="231F20"/>
                <w:sz w:val="18"/>
              </w:rPr>
              <w:t xml:space="preserve">rès </w:t>
            </w:r>
            <w:proofErr w:type="spellStart"/>
            <w:r>
              <w:rPr>
                <w:color w:val="231F20"/>
                <w:sz w:val="18"/>
              </w:rPr>
              <w:t>prioritaire</w:t>
            </w:r>
            <w:proofErr w:type="spellEnd"/>
          </w:p>
        </w:tc>
        <w:tc>
          <w:tcPr>
            <w:tcW w:w="3105" w:type="dxa"/>
            <w:vMerge/>
            <w:tcBorders>
              <w:bottom w:val="single" w:sz="8" w:space="0" w:color="231F20"/>
            </w:tcBorders>
            <w:shd w:val="clear" w:color="auto" w:fill="038944"/>
          </w:tcPr>
          <w:p w:rsidR="006C7DB3" w:rsidRDefault="006C7DB3" w:rsidP="004853B6"/>
        </w:tc>
      </w:tr>
      <w:tr w:rsidR="006C7DB3" w:rsidTr="006C7DB3">
        <w:trPr>
          <w:trHeight w:hRule="exact" w:val="1205"/>
        </w:trPr>
        <w:tc>
          <w:tcPr>
            <w:tcW w:w="600" w:type="dxa"/>
            <w:tcBorders>
              <w:top w:val="single" w:sz="8" w:space="0" w:color="231F20"/>
            </w:tcBorders>
            <w:shd w:val="clear" w:color="auto" w:fill="038944"/>
          </w:tcPr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spacing w:before="192"/>
              <w:ind w:left="183" w:right="183"/>
              <w:jc w:val="center"/>
              <w:rPr>
                <w:b/>
              </w:rPr>
            </w:pPr>
            <w:r>
              <w:rPr>
                <w:b/>
                <w:color w:val="FFFFFF"/>
              </w:rPr>
              <w:t>1.</w:t>
            </w:r>
          </w:p>
        </w:tc>
        <w:tc>
          <w:tcPr>
            <w:tcW w:w="2688" w:type="dxa"/>
            <w:tcBorders>
              <w:top w:val="single" w:sz="8" w:space="0" w:color="231F20"/>
            </w:tcBorders>
          </w:tcPr>
          <w:p w:rsidR="006C7DB3" w:rsidRDefault="006C7DB3" w:rsidP="004853B6"/>
        </w:tc>
        <w:tc>
          <w:tcPr>
            <w:tcW w:w="739" w:type="dxa"/>
            <w:tcBorders>
              <w:top w:val="single" w:sz="8" w:space="0" w:color="231F20"/>
            </w:tcBorders>
          </w:tcPr>
          <w:p w:rsidR="006C7DB3" w:rsidRDefault="006C7DB3" w:rsidP="004853B6"/>
        </w:tc>
        <w:tc>
          <w:tcPr>
            <w:tcW w:w="739" w:type="dxa"/>
            <w:tcBorders>
              <w:top w:val="single" w:sz="8" w:space="0" w:color="231F20"/>
            </w:tcBorders>
          </w:tcPr>
          <w:p w:rsidR="006C7DB3" w:rsidRDefault="006C7DB3" w:rsidP="004853B6"/>
        </w:tc>
        <w:tc>
          <w:tcPr>
            <w:tcW w:w="739" w:type="dxa"/>
            <w:tcBorders>
              <w:top w:val="single" w:sz="8" w:space="0" w:color="231F20"/>
            </w:tcBorders>
          </w:tcPr>
          <w:p w:rsidR="006C7DB3" w:rsidRDefault="006C7DB3" w:rsidP="004853B6"/>
        </w:tc>
        <w:tc>
          <w:tcPr>
            <w:tcW w:w="740" w:type="dxa"/>
            <w:tcBorders>
              <w:top w:val="single" w:sz="8" w:space="0" w:color="231F20"/>
            </w:tcBorders>
          </w:tcPr>
          <w:p w:rsidR="006C7DB3" w:rsidRDefault="006C7DB3" w:rsidP="004853B6"/>
        </w:tc>
        <w:tc>
          <w:tcPr>
            <w:tcW w:w="3105" w:type="dxa"/>
            <w:tcBorders>
              <w:top w:val="single" w:sz="8" w:space="0" w:color="231F20"/>
            </w:tcBorders>
          </w:tcPr>
          <w:p w:rsidR="006C7DB3" w:rsidRDefault="006C7DB3" w:rsidP="004853B6"/>
        </w:tc>
      </w:tr>
      <w:tr w:rsidR="006C7DB3" w:rsidTr="006C7DB3">
        <w:trPr>
          <w:trHeight w:hRule="exact" w:val="1200"/>
        </w:trPr>
        <w:tc>
          <w:tcPr>
            <w:tcW w:w="600" w:type="dxa"/>
            <w:shd w:val="clear" w:color="auto" w:fill="038944"/>
          </w:tcPr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spacing w:before="192"/>
              <w:ind w:left="183" w:right="183"/>
              <w:jc w:val="center"/>
              <w:rPr>
                <w:b/>
              </w:rPr>
            </w:pPr>
            <w:r>
              <w:rPr>
                <w:b/>
                <w:color w:val="FFFFFF"/>
              </w:rPr>
              <w:t>2.</w:t>
            </w:r>
          </w:p>
        </w:tc>
        <w:tc>
          <w:tcPr>
            <w:tcW w:w="2688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40" w:type="dxa"/>
          </w:tcPr>
          <w:p w:rsidR="006C7DB3" w:rsidRDefault="006C7DB3" w:rsidP="004853B6"/>
        </w:tc>
        <w:tc>
          <w:tcPr>
            <w:tcW w:w="3105" w:type="dxa"/>
          </w:tcPr>
          <w:p w:rsidR="006C7DB3" w:rsidRDefault="006C7DB3" w:rsidP="004853B6"/>
        </w:tc>
      </w:tr>
      <w:tr w:rsidR="006C7DB3" w:rsidTr="006C7DB3">
        <w:trPr>
          <w:trHeight w:hRule="exact" w:val="1200"/>
        </w:trPr>
        <w:tc>
          <w:tcPr>
            <w:tcW w:w="600" w:type="dxa"/>
            <w:shd w:val="clear" w:color="auto" w:fill="038944"/>
          </w:tcPr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spacing w:before="192"/>
              <w:ind w:left="183" w:right="183"/>
              <w:jc w:val="center"/>
              <w:rPr>
                <w:b/>
              </w:rPr>
            </w:pPr>
            <w:r>
              <w:rPr>
                <w:b/>
                <w:color w:val="FFFFFF"/>
              </w:rPr>
              <w:t>3.</w:t>
            </w:r>
          </w:p>
        </w:tc>
        <w:tc>
          <w:tcPr>
            <w:tcW w:w="2688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40" w:type="dxa"/>
          </w:tcPr>
          <w:p w:rsidR="006C7DB3" w:rsidRDefault="006C7DB3" w:rsidP="004853B6"/>
        </w:tc>
        <w:tc>
          <w:tcPr>
            <w:tcW w:w="3105" w:type="dxa"/>
          </w:tcPr>
          <w:p w:rsidR="006C7DB3" w:rsidRDefault="006C7DB3" w:rsidP="004853B6"/>
        </w:tc>
      </w:tr>
      <w:tr w:rsidR="006C7DB3" w:rsidTr="006C7DB3">
        <w:trPr>
          <w:trHeight w:hRule="exact" w:val="1200"/>
        </w:trPr>
        <w:tc>
          <w:tcPr>
            <w:tcW w:w="600" w:type="dxa"/>
            <w:shd w:val="clear" w:color="auto" w:fill="038944"/>
          </w:tcPr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spacing w:before="192"/>
              <w:ind w:left="183" w:right="183"/>
              <w:jc w:val="center"/>
              <w:rPr>
                <w:b/>
              </w:rPr>
            </w:pPr>
            <w:r>
              <w:rPr>
                <w:b/>
                <w:color w:val="FFFFFF"/>
              </w:rPr>
              <w:t>4.</w:t>
            </w:r>
          </w:p>
        </w:tc>
        <w:tc>
          <w:tcPr>
            <w:tcW w:w="2688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40" w:type="dxa"/>
          </w:tcPr>
          <w:p w:rsidR="006C7DB3" w:rsidRDefault="006C7DB3" w:rsidP="004853B6"/>
        </w:tc>
        <w:tc>
          <w:tcPr>
            <w:tcW w:w="3105" w:type="dxa"/>
          </w:tcPr>
          <w:p w:rsidR="006C7DB3" w:rsidRDefault="006C7DB3" w:rsidP="004853B6"/>
        </w:tc>
      </w:tr>
      <w:tr w:rsidR="006C7DB3" w:rsidTr="006C7DB3">
        <w:trPr>
          <w:trHeight w:hRule="exact" w:val="1200"/>
        </w:trPr>
        <w:tc>
          <w:tcPr>
            <w:tcW w:w="600" w:type="dxa"/>
            <w:shd w:val="clear" w:color="auto" w:fill="038944"/>
          </w:tcPr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spacing w:before="192"/>
              <w:ind w:left="183" w:right="183"/>
              <w:jc w:val="center"/>
              <w:rPr>
                <w:b/>
              </w:rPr>
            </w:pPr>
            <w:r>
              <w:rPr>
                <w:b/>
                <w:color w:val="FFFFFF"/>
              </w:rPr>
              <w:t>5.</w:t>
            </w:r>
          </w:p>
        </w:tc>
        <w:tc>
          <w:tcPr>
            <w:tcW w:w="2688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40" w:type="dxa"/>
          </w:tcPr>
          <w:p w:rsidR="006C7DB3" w:rsidRDefault="006C7DB3" w:rsidP="004853B6"/>
        </w:tc>
        <w:tc>
          <w:tcPr>
            <w:tcW w:w="3105" w:type="dxa"/>
          </w:tcPr>
          <w:p w:rsidR="006C7DB3" w:rsidRDefault="006C7DB3" w:rsidP="004853B6"/>
        </w:tc>
      </w:tr>
      <w:tr w:rsidR="006C7DB3" w:rsidTr="006C7DB3">
        <w:trPr>
          <w:trHeight w:hRule="exact" w:val="1200"/>
        </w:trPr>
        <w:tc>
          <w:tcPr>
            <w:tcW w:w="600" w:type="dxa"/>
            <w:shd w:val="clear" w:color="auto" w:fill="038944"/>
          </w:tcPr>
          <w:p w:rsidR="006C7DB3" w:rsidRDefault="006C7DB3" w:rsidP="004853B6">
            <w:pPr>
              <w:pStyle w:val="TableParagraph"/>
              <w:ind w:left="0"/>
              <w:rPr>
                <w:sz w:val="24"/>
              </w:rPr>
            </w:pPr>
          </w:p>
          <w:p w:rsidR="006C7DB3" w:rsidRDefault="006C7DB3" w:rsidP="004853B6">
            <w:pPr>
              <w:pStyle w:val="TableParagraph"/>
              <w:spacing w:before="192"/>
              <w:ind w:left="183" w:right="183"/>
              <w:jc w:val="center"/>
              <w:rPr>
                <w:b/>
              </w:rPr>
            </w:pPr>
            <w:r>
              <w:rPr>
                <w:b/>
                <w:color w:val="FFFFFF"/>
              </w:rPr>
              <w:t>6.</w:t>
            </w:r>
          </w:p>
        </w:tc>
        <w:tc>
          <w:tcPr>
            <w:tcW w:w="2688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39" w:type="dxa"/>
          </w:tcPr>
          <w:p w:rsidR="006C7DB3" w:rsidRDefault="006C7DB3" w:rsidP="004853B6"/>
        </w:tc>
        <w:tc>
          <w:tcPr>
            <w:tcW w:w="740" w:type="dxa"/>
          </w:tcPr>
          <w:p w:rsidR="006C7DB3" w:rsidRDefault="006C7DB3" w:rsidP="004853B6"/>
        </w:tc>
        <w:tc>
          <w:tcPr>
            <w:tcW w:w="3105" w:type="dxa"/>
          </w:tcPr>
          <w:p w:rsidR="006C7DB3" w:rsidRDefault="006C7DB3" w:rsidP="004853B6"/>
        </w:tc>
      </w:tr>
    </w:tbl>
    <w:p w:rsidR="0058480F" w:rsidRDefault="00DB4049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9199245</wp:posOffset>
                </wp:positionV>
                <wp:extent cx="2246630" cy="139065"/>
                <wp:effectExtent l="0" t="0" r="4445" b="0"/>
                <wp:wrapNone/>
                <wp:docPr id="179532830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B3" w:rsidRDefault="006C7DB3" w:rsidP="006C7DB3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 xml:space="preserve">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rétention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 xml:space="preserve"> à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mobilisation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employés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4.75pt;margin-top:724.35pt;width:176.9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" filled="f" stroked="f">
                <v:textbox inset="0,0,0,0">
                  <w:txbxContent>
                    <w:p w:rsidR="006C7DB3" w:rsidRDefault="006C7DB3" w:rsidP="006C7DB3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 xml:space="preserve">De 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rétention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 xml:space="preserve"> à 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mobilisation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employés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7DB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ge">
                  <wp:posOffset>9244965</wp:posOffset>
                </wp:positionV>
                <wp:extent cx="3402330" cy="118110"/>
                <wp:effectExtent l="1270" t="0" r="0" b="0"/>
                <wp:wrapNone/>
                <wp:docPr id="20712989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B3" w:rsidRDefault="006C7DB3" w:rsidP="006C7DB3">
                            <w:pPr>
                              <w:spacing w:before="15"/>
                              <w:ind w:left="20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 xml:space="preserve">Pour les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>entreprises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>secteur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>l’horticulture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>ornementale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>commercialisation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3"/>
                              </w:rPr>
                              <w:t xml:space="preserve"> et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10.6pt;margin-top:727.95pt;width:267.9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" filled="f" stroked="f">
                <v:textbox inset="0,0,0,0">
                  <w:txbxContent>
                    <w:p w:rsidR="006C7DB3" w:rsidRDefault="006C7DB3" w:rsidP="006C7DB3">
                      <w:pPr>
                        <w:spacing w:before="15"/>
                        <w:ind w:left="20"/>
                        <w:rPr>
                          <w:rFonts w:ascii="Arial" w:hAnsi="Arial"/>
                          <w:sz w:val="13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 xml:space="preserve">Pour les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>entreprises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>secteur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>l’horticulture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>ornementale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>commercialisation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3"/>
                        </w:rPr>
                        <w:t xml:space="preserve"> et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848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049" w:rsidRDefault="00DB4049" w:rsidP="00DB4049">
      <w:r>
        <w:separator/>
      </w:r>
    </w:p>
  </w:endnote>
  <w:endnote w:type="continuationSeparator" w:id="0">
    <w:p w:rsidR="00DB4049" w:rsidRDefault="00DB4049" w:rsidP="00DB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049" w:rsidRDefault="00DB4049" w:rsidP="00DB4049">
      <w:r>
        <w:separator/>
      </w:r>
    </w:p>
  </w:footnote>
  <w:footnote w:type="continuationSeparator" w:id="0">
    <w:p w:rsidR="00DB4049" w:rsidRDefault="00DB4049" w:rsidP="00DB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B3"/>
    <w:rsid w:val="0058480F"/>
    <w:rsid w:val="006C7DB3"/>
    <w:rsid w:val="00D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262C-665A-48C4-8429-B7C87378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20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B3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DB3"/>
    <w:pPr>
      <w:widowControl w:val="0"/>
      <w:autoSpaceDE w:val="0"/>
      <w:autoSpaceDN w:val="0"/>
      <w:spacing w:before="0"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C7DB3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C7DB3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C7DB3"/>
    <w:pPr>
      <w:ind w:left="115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DB4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4049"/>
    <w:rPr>
      <w:rFonts w:ascii="Calibri" w:eastAsia="Calibri" w:hAnsi="Calibri" w:cs="Calibri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B4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049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2</cp:revision>
  <dcterms:created xsi:type="dcterms:W3CDTF">2023-05-24T19:29:00Z</dcterms:created>
  <dcterms:modified xsi:type="dcterms:W3CDTF">2023-05-24T19:43:00Z</dcterms:modified>
</cp:coreProperties>
</file>